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448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22BC8">
        <w:rPr>
          <w:rFonts w:ascii="Times New Roman" w:hAnsi="Times New Roman" w:cs="Times New Roman"/>
          <w:b/>
          <w:sz w:val="28"/>
          <w:szCs w:val="28"/>
        </w:rPr>
        <w:t>Заявка № 28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222BC8">
        <w:rPr>
          <w:rFonts w:ascii="Times New Roman" w:hAnsi="Times New Roman" w:cs="Times New Roman"/>
          <w:b/>
          <w:sz w:val="28"/>
          <w:szCs w:val="28"/>
        </w:rPr>
        <w:t>предложений до 24</w:t>
      </w:r>
      <w:r w:rsidR="003526EE">
        <w:rPr>
          <w:rFonts w:ascii="Times New Roman" w:hAnsi="Times New Roman" w:cs="Times New Roman"/>
          <w:b/>
          <w:sz w:val="28"/>
          <w:szCs w:val="28"/>
        </w:rPr>
        <w:t>.06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222BC8">
        <w:rPr>
          <w:rFonts w:ascii="Times New Roman" w:hAnsi="Times New Roman" w:cs="Times New Roman"/>
          <w:b/>
          <w:sz w:val="28"/>
          <w:szCs w:val="28"/>
        </w:rPr>
        <w:t>26</w:t>
      </w:r>
      <w:r w:rsidR="003526EE">
        <w:rPr>
          <w:rFonts w:ascii="Times New Roman" w:hAnsi="Times New Roman" w:cs="Times New Roman"/>
          <w:b/>
          <w:sz w:val="28"/>
          <w:szCs w:val="28"/>
        </w:rPr>
        <w:t>.06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AD4E9E">
        <w:rPr>
          <w:rFonts w:ascii="Times New Roman" w:hAnsi="Times New Roman" w:cs="Times New Roman"/>
          <w:b/>
          <w:sz w:val="28"/>
          <w:szCs w:val="28"/>
        </w:rPr>
        <w:t>июль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416551" w:rsidRPr="00416551" w:rsidRDefault="00416551" w:rsidP="0041655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 BENQ GC2870H 28 "- 2шт</w:t>
      </w:r>
    </w:p>
    <w:p w:rsidR="00416551" w:rsidRPr="00416551" w:rsidRDefault="00416551" w:rsidP="0041655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51" w:rsidRPr="00416551" w:rsidRDefault="00416551" w:rsidP="0041655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 ЖК 24" </w:t>
      </w:r>
      <w:proofErr w:type="spellStart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BenQ</w:t>
      </w:r>
      <w:proofErr w:type="spellEnd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GL2460 </w:t>
      </w:r>
      <w:proofErr w:type="spellStart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Black</w:t>
      </w:r>
      <w:proofErr w:type="spellEnd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(1920x1080, 2 </w:t>
      </w:r>
      <w:proofErr w:type="spellStart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</w:t>
      </w:r>
      <w:proofErr w:type="spellEnd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12М:1, 250 кд/м2, D-</w:t>
      </w:r>
      <w:proofErr w:type="spellStart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Sub</w:t>
      </w:r>
      <w:proofErr w:type="spellEnd"/>
      <w:r w:rsidRPr="0041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DVI) -20шт</w:t>
      </w:r>
    </w:p>
    <w:p w:rsidR="00AD4E9E" w:rsidRDefault="00AD4E9E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F8" w:rsidRDefault="00B653F8" w:rsidP="004A28A2">
      <w:pPr>
        <w:spacing w:after="0" w:line="240" w:lineRule="auto"/>
      </w:pPr>
      <w:r>
        <w:separator/>
      </w:r>
    </w:p>
  </w:endnote>
  <w:endnote w:type="continuationSeparator" w:id="0">
    <w:p w:rsidR="00B653F8" w:rsidRDefault="00B653F8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F8" w:rsidRDefault="00B653F8" w:rsidP="004A28A2">
      <w:pPr>
        <w:spacing w:after="0" w:line="240" w:lineRule="auto"/>
      </w:pPr>
      <w:r>
        <w:separator/>
      </w:r>
    </w:p>
  </w:footnote>
  <w:footnote w:type="continuationSeparator" w:id="0">
    <w:p w:rsidR="00B653F8" w:rsidRDefault="00B653F8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DE1F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148</cp:revision>
  <cp:lastPrinted>2017-10-05T11:03:00Z</cp:lastPrinted>
  <dcterms:created xsi:type="dcterms:W3CDTF">2017-11-09T05:08:00Z</dcterms:created>
  <dcterms:modified xsi:type="dcterms:W3CDTF">2019-06-27T11:24:00Z</dcterms:modified>
</cp:coreProperties>
</file>